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30A70" w14:textId="36B0000D" w:rsidR="00A34C81" w:rsidRPr="00A34C81" w:rsidRDefault="003F5C90" w:rsidP="00A34C81">
      <w:pPr>
        <w:jc w:val="center"/>
        <w:rPr>
          <w:rFonts w:ascii="Arial" w:hAnsi="Arial" w:cs="Arial"/>
          <w:b/>
          <w:lang w:val="es-ES"/>
        </w:rPr>
      </w:pPr>
      <w:r>
        <w:rPr>
          <w:rFonts w:ascii="Arial" w:hAnsi="Arial" w:cs="Arial"/>
          <w:b/>
          <w:lang w:val="es-ES"/>
        </w:rPr>
        <w:t xml:space="preserve">ANEXO </w:t>
      </w:r>
      <w:r w:rsidR="008416F5">
        <w:rPr>
          <w:rFonts w:ascii="Arial" w:hAnsi="Arial" w:cs="Arial"/>
          <w:b/>
          <w:lang w:val="es-ES"/>
        </w:rPr>
        <w:t>4</w:t>
      </w:r>
      <w:r w:rsidR="00A34C81">
        <w:rPr>
          <w:rFonts w:ascii="Arial" w:hAnsi="Arial" w:cs="Arial"/>
          <w:b/>
          <w:lang w:val="es-ES"/>
        </w:rPr>
        <w:t xml:space="preserve"> </w:t>
      </w:r>
      <w:r>
        <w:rPr>
          <w:rFonts w:ascii="Arial" w:hAnsi="Arial" w:cs="Arial"/>
          <w:b/>
          <w:lang w:val="es-ES"/>
        </w:rPr>
        <w:t>–</w:t>
      </w:r>
      <w:r w:rsidR="00A34C81">
        <w:rPr>
          <w:rFonts w:ascii="Arial" w:hAnsi="Arial" w:cs="Arial"/>
          <w:b/>
          <w:lang w:val="es-ES"/>
        </w:rPr>
        <w:t xml:space="preserve"> </w:t>
      </w:r>
      <w:r w:rsidR="008416F5">
        <w:rPr>
          <w:rFonts w:ascii="Arial" w:hAnsi="Arial" w:cs="Arial"/>
          <w:b/>
          <w:lang w:val="es-ES"/>
        </w:rPr>
        <w:t>LISTADO CONTROLES INFORME AUDITOR</w:t>
      </w:r>
    </w:p>
    <w:p w14:paraId="73243E74" w14:textId="77777777" w:rsidR="00A34C81" w:rsidRPr="00A34C81" w:rsidRDefault="00A34C81" w:rsidP="00A34C81">
      <w:pPr>
        <w:rPr>
          <w:rFonts w:ascii="Arial" w:hAnsi="Arial" w:cs="Arial"/>
          <w:b/>
          <w:lang w:val="es-ES"/>
        </w:rPr>
      </w:pPr>
    </w:p>
    <w:p w14:paraId="0534AFA9" w14:textId="77777777" w:rsidR="008416F5" w:rsidRPr="008416F5" w:rsidRDefault="008416F5" w:rsidP="008416F5">
      <w:pPr>
        <w:jc w:val="both"/>
        <w:rPr>
          <w:rFonts w:ascii="Arial" w:hAnsi="Arial" w:cs="Arial"/>
          <w:iCs/>
          <w:lang w:val="es-ES"/>
        </w:rPr>
      </w:pPr>
      <w:r w:rsidRPr="008416F5">
        <w:rPr>
          <w:rFonts w:ascii="Arial" w:hAnsi="Arial" w:cs="Arial"/>
          <w:lang w:val="es-ES"/>
        </w:rPr>
        <w:t>La justificación deberá venir acompañada por un i</w:t>
      </w:r>
      <w:r w:rsidRPr="008416F5">
        <w:rPr>
          <w:rFonts w:ascii="Arial" w:hAnsi="Arial" w:cs="Arial"/>
          <w:iCs/>
          <w:lang w:val="es-ES"/>
        </w:rPr>
        <w:t>nforme de auditor de cuentas (que necesariamente deberá estar inscrito como ejerciente en el ROAC) en el que se pronuncie sobre la adecuada contabilización y la correcta expedición de los justificantes de gasto y pago y, en su caso, sobre los ingresos generados y el destino de los mismos.</w:t>
      </w:r>
    </w:p>
    <w:p w14:paraId="51439FDD" w14:textId="77777777" w:rsidR="008416F5" w:rsidRPr="008416F5" w:rsidRDefault="008416F5" w:rsidP="008416F5">
      <w:pPr>
        <w:jc w:val="both"/>
        <w:rPr>
          <w:rFonts w:ascii="Arial" w:hAnsi="Arial" w:cs="Arial"/>
          <w:iCs/>
          <w:lang w:val="es-ES"/>
        </w:rPr>
      </w:pPr>
      <w:r w:rsidRPr="008416F5">
        <w:rPr>
          <w:rFonts w:ascii="Arial" w:hAnsi="Arial" w:cs="Arial"/>
          <w:iCs/>
          <w:lang w:val="es-ES"/>
        </w:rPr>
        <w:t>El alcance del informe será aquel que permita al auditor obtener evidencia suficiente para poder emitir opinión sobre la ejecución de los gastos del proyecto y deberá regirse por lo establecido en la Orden EHA/1434/2007, de 17 de mayo. En los casos en que el beneficiario esté obligado a auditar sus cuentas anuales por un auditor sometido a la Ley 22/2015, de 20 de julio, de Auditoría de Cuentas, la revisión de la cuenta justificativa se llevará a cabo por el mismo auditor. En el supuesto en que el beneficiario no esté obligado a auditar sus cuentas anuales, la designación del auditor de cuentas será realizada por él.</w:t>
      </w:r>
    </w:p>
    <w:p w14:paraId="2A58C757" w14:textId="77777777" w:rsidR="008416F5" w:rsidRPr="008416F5" w:rsidRDefault="008416F5" w:rsidP="008416F5">
      <w:pPr>
        <w:jc w:val="both"/>
        <w:rPr>
          <w:rFonts w:ascii="Arial" w:hAnsi="Arial" w:cs="Arial"/>
          <w:iCs/>
          <w:u w:val="single"/>
          <w:lang w:val="es-ES"/>
        </w:rPr>
      </w:pPr>
      <w:r w:rsidRPr="008416F5">
        <w:rPr>
          <w:rFonts w:ascii="Arial" w:hAnsi="Arial" w:cs="Arial"/>
          <w:iCs/>
          <w:lang w:val="es-ES"/>
        </w:rPr>
        <w:t xml:space="preserve">El beneficiario puede comprobar la inscripción del auditor mediante el siguiente enlace, ingresando número ROAC o apellidos y nombre. </w:t>
      </w:r>
      <w:hyperlink r:id="rId8" w:history="1">
        <w:r w:rsidRPr="008416F5">
          <w:rPr>
            <w:rStyle w:val="Hipervnculo"/>
            <w:rFonts w:ascii="Arial" w:hAnsi="Arial" w:cs="Arial"/>
            <w:iCs/>
            <w:lang w:val="es-ES"/>
          </w:rPr>
          <w:t>https://www.icac.gob.es/buscador-roac</w:t>
        </w:r>
      </w:hyperlink>
    </w:p>
    <w:p w14:paraId="2AE41738" w14:textId="77777777" w:rsidR="008416F5" w:rsidRPr="008416F5" w:rsidRDefault="008416F5" w:rsidP="008416F5">
      <w:pPr>
        <w:jc w:val="both"/>
        <w:rPr>
          <w:rFonts w:ascii="Arial" w:hAnsi="Arial" w:cs="Arial"/>
          <w:iCs/>
          <w:lang w:val="es-ES"/>
        </w:rPr>
      </w:pPr>
      <w:r w:rsidRPr="008416F5">
        <w:rPr>
          <w:rFonts w:ascii="Arial" w:hAnsi="Arial" w:cs="Arial"/>
          <w:iCs/>
          <w:lang w:val="es-ES"/>
        </w:rPr>
        <w:t xml:space="preserve">Los puntos de control a verificar por el auditor se encuentran recogidos en el Anexo 4 que recogerá lo establecido en la RESOLUCIÓN DE CONCESIÓN. En relación con la cuenta justificativa, de conformidad con lo establecido en la mencionada Orden EHA/1434/2007 el auditor revisará la memoria de cumplimiento, así como la memoria económica abreviada. Respecto a esta última, el auditor comprobará los siguientes extremos: </w:t>
      </w:r>
    </w:p>
    <w:p w14:paraId="0B5B852E"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Que la información económica contenida en la memoria está soportada por una relación de gastos de la actividad subvencionada, facturas o documentos de valor probatorio y pagos realizados. </w:t>
      </w:r>
    </w:p>
    <w:p w14:paraId="5110F446"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Que los gastos e inversiones que integran la relación cumplen los requisitos para tener la consideración de gasto subvencionable, conforme a lo establecido en la Cláusula Cuarta de la presente Resolución. </w:t>
      </w:r>
    </w:p>
    <w:p w14:paraId="127814F9"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Que los costes indirectos no superan el 4% del total de costes directos, de conformidad con lo establecido en el apartado segundo de la Cláusula Cuarta de la presente Resolución. También se comprobará que su importe se encuentra desglosado adecuadamente en la cuenta justificativa. </w:t>
      </w:r>
    </w:p>
    <w:p w14:paraId="23C94B62"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Que el beneficiario dispone de ofertas de diferentes proveedores, en los supuestos previstos en el apartado tercero de la Cláusula Cuarta de la presente Resolución, y de una memoria que justifique razonablemente la elección del </w:t>
      </w:r>
      <w:r w:rsidRPr="008416F5">
        <w:rPr>
          <w:rFonts w:ascii="Arial" w:hAnsi="Arial" w:cs="Arial"/>
          <w:iCs/>
          <w:lang w:val="es-ES"/>
        </w:rPr>
        <w:lastRenderedPageBreak/>
        <w:t xml:space="preserve">proveedor, en aquellos casos en que no haya recaído en la propuesta económica más ventajosa. </w:t>
      </w:r>
    </w:p>
    <w:p w14:paraId="7C5DA78B"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En caso de subcontratación, total o parcial, con terceros de la actividad subvencionada, el auditor solicitará del beneficiario una declaración de las actividades subcontratas, con indicación de los subcontratistas e importes facturados. Dicha declaración incluirá una manifestación del beneficiario respecto de las situaciones previstas en los apartados 4 y 7 de del artículo 29 de la Ley 38/2003, de 17 de noviembre, General de Subvenciones. </w:t>
      </w:r>
    </w:p>
    <w:p w14:paraId="2FF1817F"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Que se produce la necesaria coherencia entre los gastos e inversiones justificados y la naturaleza de las actividades subvencionadas. </w:t>
      </w:r>
    </w:p>
    <w:p w14:paraId="5F01C4AB"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 xml:space="preserve">Que incluye una declaración que contenga una relación detallada de otros ingresos, recursos, subvenciones o ayudas que hayan financiado la actividad subvencionada, con indicación de su importe y procedencia. Sobre la base de esta información y de las condiciones impuestas al beneficiario para la percepción de la subvención objeto de revisión, el auditor analizará la concurrencia de subvenciones, ayudas, ingresos o recursos para la misma finalidad, procedentes de cualesquiera Administraciones o entes públicos o privados, nacionales, de la Unión Europea o de organismos internacionales, a efectos de determinar la posible incompatibilidad y, en su caso, el exceso de financiación. </w:t>
      </w:r>
    </w:p>
    <w:p w14:paraId="61E2C4A9" w14:textId="77777777" w:rsidR="008416F5" w:rsidRPr="008416F5" w:rsidRDefault="008416F5" w:rsidP="008416F5">
      <w:pPr>
        <w:numPr>
          <w:ilvl w:val="0"/>
          <w:numId w:val="10"/>
        </w:numPr>
        <w:jc w:val="both"/>
        <w:rPr>
          <w:rFonts w:ascii="Arial" w:hAnsi="Arial" w:cs="Arial"/>
          <w:iCs/>
          <w:lang w:val="es-ES"/>
        </w:rPr>
      </w:pPr>
      <w:r w:rsidRPr="008416F5">
        <w:rPr>
          <w:rFonts w:ascii="Arial" w:hAnsi="Arial" w:cs="Arial"/>
          <w:iCs/>
          <w:lang w:val="es-ES"/>
        </w:rPr>
        <w:t>En su caso, comprobación de la carta de pago de reintegro en el supuesto de remanentes no aplicados, así como de los intereses derivados de los mismos.</w:t>
      </w:r>
    </w:p>
    <w:p w14:paraId="539F80DA" w14:textId="77777777" w:rsidR="008416F5" w:rsidRPr="008416F5" w:rsidRDefault="008416F5" w:rsidP="008416F5">
      <w:pPr>
        <w:jc w:val="both"/>
        <w:rPr>
          <w:rFonts w:ascii="Arial" w:hAnsi="Arial" w:cs="Arial"/>
          <w:iCs/>
          <w:lang w:val="es-ES"/>
        </w:rPr>
      </w:pPr>
      <w:r w:rsidRPr="008416F5">
        <w:rPr>
          <w:rFonts w:ascii="Arial" w:hAnsi="Arial" w:cs="Arial"/>
          <w:iCs/>
          <w:lang w:val="es-ES"/>
        </w:rPr>
        <w:t>Será obligación de la entidad beneficiaria la de designar al auditor que redactará el informe regulado en este apartado.</w:t>
      </w:r>
    </w:p>
    <w:p w14:paraId="0546249F" w14:textId="3BCD556F" w:rsidR="00304E91" w:rsidRPr="008416F5" w:rsidRDefault="008416F5" w:rsidP="008416F5">
      <w:pPr>
        <w:jc w:val="both"/>
        <w:rPr>
          <w:rFonts w:ascii="Arial" w:hAnsi="Arial" w:cs="Arial"/>
          <w:lang w:val="es-ES"/>
        </w:rPr>
      </w:pPr>
      <w:r w:rsidRPr="008416F5">
        <w:rPr>
          <w:rFonts w:ascii="Arial" w:hAnsi="Arial" w:cs="Arial"/>
          <w:iCs/>
          <w:lang w:val="es-ES"/>
        </w:rPr>
        <w:t>La entidad beneficiaria estará obligada a poner a disposición del auditor de cuentas cuantos libros, registros y documentos le sean exigibles en aplicación de lo dispuesto en el apartado f) del artículo 14.1 de la Ley 38/2003, de 17 de noviembre, así como a conservarlos al objeto de las actuaciones de comprobación y control previstas en la citada Ley</w:t>
      </w:r>
      <w:r>
        <w:rPr>
          <w:rFonts w:ascii="Arial" w:hAnsi="Arial" w:cs="Arial"/>
          <w:iCs/>
          <w:lang w:val="es-ES"/>
        </w:rPr>
        <w:t>.</w:t>
      </w:r>
      <w:bookmarkStart w:id="0" w:name="_GoBack"/>
      <w:bookmarkEnd w:id="0"/>
    </w:p>
    <w:sectPr w:rsidR="00304E91" w:rsidRPr="008416F5" w:rsidSect="0003461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9BC62" w14:textId="77777777" w:rsidR="00063479" w:rsidRDefault="00063479" w:rsidP="00063479">
      <w:pPr>
        <w:spacing w:after="0" w:line="240" w:lineRule="auto"/>
      </w:pPr>
      <w:r>
        <w:separator/>
      </w:r>
    </w:p>
  </w:endnote>
  <w:endnote w:type="continuationSeparator" w:id="0">
    <w:p w14:paraId="3A1604AC" w14:textId="77777777" w:rsidR="00063479" w:rsidRDefault="00063479" w:rsidP="00063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2AF4E" w14:textId="77777777" w:rsidR="00063479" w:rsidRDefault="00063479" w:rsidP="00063479">
      <w:pPr>
        <w:spacing w:after="0" w:line="240" w:lineRule="auto"/>
      </w:pPr>
      <w:r>
        <w:separator/>
      </w:r>
    </w:p>
  </w:footnote>
  <w:footnote w:type="continuationSeparator" w:id="0">
    <w:p w14:paraId="6C7232E5" w14:textId="77777777" w:rsidR="00063479" w:rsidRDefault="00063479" w:rsidP="00063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8222" w14:textId="1140F63E" w:rsidR="00A34C81" w:rsidRDefault="00D81175">
    <w:pPr>
      <w:pStyle w:val="Encabezado"/>
    </w:pPr>
    <w:r>
      <w:rPr>
        <w:noProof/>
        <w:lang w:val="es-ES" w:eastAsia="es-ES"/>
      </w:rPr>
      <w:drawing>
        <wp:inline distT="0" distB="0" distL="0" distR="0" wp14:anchorId="043356E8" wp14:editId="758D359A">
          <wp:extent cx="5486400" cy="748665"/>
          <wp:effectExtent l="0" t="0" r="0" b="0"/>
          <wp:docPr id="356347062" name="Imagen 1" descr="Imagen que contiene 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356347062" name="Imagen 1" descr="Imagen que contiene Texto&#10;&#10;El contenido generado por IA puede ser incorrecto."/>
                  <pic:cNvPicPr/>
                </pic:nvPicPr>
                <pic:blipFill>
                  <a:blip r:embed="rId1"/>
                  <a:stretch>
                    <a:fillRect/>
                  </a:stretch>
                </pic:blipFill>
                <pic:spPr>
                  <a:xfrm>
                    <a:off x="0" y="0"/>
                    <a:ext cx="5486400" cy="748665"/>
                  </a:xfrm>
                  <a:prstGeom prst="rect">
                    <a:avLst/>
                  </a:prstGeom>
                </pic:spPr>
              </pic:pic>
            </a:graphicData>
          </a:graphic>
        </wp:inline>
      </w:drawing>
    </w:r>
  </w:p>
  <w:p w14:paraId="42E6F3A6" w14:textId="77777777" w:rsidR="00A34C81" w:rsidRDefault="00A34C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68CF1783"/>
    <w:multiLevelType w:val="hybridMultilevel"/>
    <w:tmpl w:val="74544FEA"/>
    <w:lvl w:ilvl="0" w:tplc="54CA4718">
      <w:start w:val="3"/>
      <w:numFmt w:val="bullet"/>
      <w:lvlText w:val="-"/>
      <w:lvlJc w:val="left"/>
      <w:pPr>
        <w:ind w:left="1004" w:hanging="360"/>
      </w:pPr>
      <w:rPr>
        <w:rFonts w:ascii="Calibri" w:eastAsiaTheme="minorEastAsia" w:hAnsi="Calibri" w:cstheme="minorHAns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63479"/>
    <w:rsid w:val="0015074B"/>
    <w:rsid w:val="001D2849"/>
    <w:rsid w:val="00255922"/>
    <w:rsid w:val="00270838"/>
    <w:rsid w:val="0029639D"/>
    <w:rsid w:val="00297382"/>
    <w:rsid w:val="002D664B"/>
    <w:rsid w:val="00304E91"/>
    <w:rsid w:val="00326F90"/>
    <w:rsid w:val="00335DDA"/>
    <w:rsid w:val="003F5C90"/>
    <w:rsid w:val="004007AB"/>
    <w:rsid w:val="004C20F4"/>
    <w:rsid w:val="00587AC6"/>
    <w:rsid w:val="00707427"/>
    <w:rsid w:val="00730650"/>
    <w:rsid w:val="007E6567"/>
    <w:rsid w:val="007E7B66"/>
    <w:rsid w:val="008416F5"/>
    <w:rsid w:val="008D235A"/>
    <w:rsid w:val="00A34C81"/>
    <w:rsid w:val="00AA1D8D"/>
    <w:rsid w:val="00B47730"/>
    <w:rsid w:val="00BB662C"/>
    <w:rsid w:val="00CB0664"/>
    <w:rsid w:val="00D81175"/>
    <w:rsid w:val="00E87392"/>
    <w:rsid w:val="00FA7A9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BA8CF"/>
  <w14:defaultImageDpi w14:val="300"/>
  <w15:docId w15:val="{E264A3C6-FAF4-4A47-AE05-BAFE8D9D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xtonotapie">
    <w:name w:val="footnote text"/>
    <w:basedOn w:val="Normal"/>
    <w:link w:val="TextonotapieCar"/>
    <w:uiPriority w:val="99"/>
    <w:semiHidden/>
    <w:unhideWhenUsed/>
    <w:rsid w:val="0006347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479"/>
    <w:rPr>
      <w:sz w:val="20"/>
      <w:szCs w:val="20"/>
    </w:rPr>
  </w:style>
  <w:style w:type="character" w:styleId="Refdenotaalpie">
    <w:name w:val="footnote reference"/>
    <w:basedOn w:val="Fuentedeprrafopredeter"/>
    <w:uiPriority w:val="99"/>
    <w:semiHidden/>
    <w:unhideWhenUsed/>
    <w:rsid w:val="00063479"/>
    <w:rPr>
      <w:vertAlign w:val="superscript"/>
    </w:rPr>
  </w:style>
  <w:style w:type="character" w:styleId="Hipervnculo">
    <w:name w:val="Hyperlink"/>
    <w:basedOn w:val="Fuentedeprrafopredeter"/>
    <w:uiPriority w:val="99"/>
    <w:unhideWhenUsed/>
    <w:rsid w:val="008416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c.gob.es/buscador-ro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19CBC-D438-4157-A7BF-DA2C962EE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699</Words>
  <Characters>3848</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Ruiz Perez, Guiomar</cp:lastModifiedBy>
  <cp:revision>7</cp:revision>
  <dcterms:created xsi:type="dcterms:W3CDTF">2025-10-29T12:43:00Z</dcterms:created>
  <dcterms:modified xsi:type="dcterms:W3CDTF">2025-11-14T08:00:00Z</dcterms:modified>
  <cp:category/>
</cp:coreProperties>
</file>